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33" w:rsidRPr="0054796C" w:rsidRDefault="00321033" w:rsidP="0032103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b/>
          <w:sz w:val="28"/>
          <w:szCs w:val="26"/>
        </w:rPr>
        <w:t xml:space="preserve">ФИНАНСОВО-ЭКОНОМИЧЕСКОЕ ОБОСНОВАНИЕ </w:t>
      </w:r>
    </w:p>
    <w:p w:rsidR="00321033" w:rsidRPr="0054796C" w:rsidRDefault="00321033" w:rsidP="003210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6"/>
        </w:rPr>
      </w:pPr>
    </w:p>
    <w:p w:rsidR="00A00A14" w:rsidRPr="0054796C" w:rsidRDefault="00A00A14" w:rsidP="00A00A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4796C">
        <w:rPr>
          <w:rFonts w:ascii="Times New Roman" w:eastAsia="Calibri" w:hAnsi="Times New Roman" w:cs="Times New Roman"/>
          <w:b/>
          <w:sz w:val="28"/>
          <w:szCs w:val="26"/>
        </w:rPr>
        <w:t>к проекту закона Удмуртской Республики</w:t>
      </w:r>
      <w:r w:rsidRPr="0054796C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</w:p>
    <w:p w:rsidR="00A00A14" w:rsidRPr="0054796C" w:rsidRDefault="00A00A14" w:rsidP="00A00A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b/>
          <w:sz w:val="28"/>
          <w:szCs w:val="26"/>
        </w:rPr>
        <w:t>«О внесении изменени</w:t>
      </w:r>
      <w:r w:rsidR="008B514F">
        <w:rPr>
          <w:rFonts w:ascii="Times New Roman" w:eastAsia="Times New Roman" w:hAnsi="Times New Roman" w:cs="Times New Roman"/>
          <w:b/>
          <w:sz w:val="28"/>
          <w:szCs w:val="26"/>
        </w:rPr>
        <w:t>й</w:t>
      </w:r>
      <w:r w:rsidRPr="0054796C">
        <w:rPr>
          <w:rFonts w:ascii="Times New Roman" w:eastAsia="Times New Roman" w:hAnsi="Times New Roman" w:cs="Times New Roman"/>
          <w:b/>
          <w:sz w:val="28"/>
          <w:szCs w:val="26"/>
        </w:rPr>
        <w:t xml:space="preserve"> в Закон Удмуртской Республики</w:t>
      </w:r>
    </w:p>
    <w:p w:rsidR="00321033" w:rsidRPr="0054796C" w:rsidRDefault="00A00A14" w:rsidP="00A00A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b/>
          <w:sz w:val="28"/>
          <w:szCs w:val="26"/>
        </w:rPr>
        <w:t xml:space="preserve"> «О патентной системе налогообложения в Удмуртской Республике»</w:t>
      </w:r>
    </w:p>
    <w:p w:rsidR="00321033" w:rsidRPr="0054796C" w:rsidRDefault="00321033" w:rsidP="003210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06CB3" w:rsidRPr="0054796C" w:rsidRDefault="00E06CB3" w:rsidP="0018606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sz w:val="28"/>
          <w:szCs w:val="26"/>
        </w:rPr>
        <w:t>Принятие проекта закона Удмуртской Республики «О внесении изменени</w:t>
      </w:r>
      <w:r w:rsidR="008B514F">
        <w:rPr>
          <w:rFonts w:ascii="Times New Roman" w:eastAsia="Times New Roman" w:hAnsi="Times New Roman" w:cs="Times New Roman"/>
          <w:sz w:val="28"/>
          <w:szCs w:val="26"/>
        </w:rPr>
        <w:t>й</w:t>
      </w:r>
      <w:r w:rsidRPr="0054796C">
        <w:rPr>
          <w:rFonts w:ascii="Times New Roman" w:eastAsia="Times New Roman" w:hAnsi="Times New Roman" w:cs="Times New Roman"/>
          <w:sz w:val="28"/>
          <w:szCs w:val="26"/>
        </w:rPr>
        <w:t xml:space="preserve"> в Закон Удмуртской Республики «О патентной системе налогообложения в Удмуртской Республике» </w:t>
      </w:r>
      <w:r w:rsidR="00186065" w:rsidRPr="0054796C">
        <w:rPr>
          <w:rFonts w:ascii="Times New Roman" w:eastAsia="Times New Roman" w:hAnsi="Times New Roman" w:cs="Times New Roman"/>
          <w:sz w:val="28"/>
          <w:szCs w:val="26"/>
        </w:rPr>
        <w:t xml:space="preserve">(далее – проект закона Удмуртской Республики) </w:t>
      </w:r>
      <w:r w:rsidRPr="0054796C">
        <w:rPr>
          <w:rFonts w:ascii="Times New Roman" w:eastAsia="Times New Roman" w:hAnsi="Times New Roman" w:cs="Times New Roman"/>
          <w:sz w:val="28"/>
          <w:szCs w:val="26"/>
        </w:rPr>
        <w:t>не потребует выделения финансовых средств из бюджета Удмуртской Республики.</w:t>
      </w:r>
    </w:p>
    <w:p w:rsidR="001D69B2" w:rsidRDefault="00186065" w:rsidP="0018606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sz w:val="28"/>
          <w:szCs w:val="26"/>
        </w:rPr>
        <w:t>Проектом закона</w:t>
      </w:r>
      <w:r w:rsidR="00E06CB3" w:rsidRPr="0054796C">
        <w:rPr>
          <w:rFonts w:ascii="Times New Roman" w:eastAsia="Times New Roman" w:hAnsi="Times New Roman" w:cs="Times New Roman"/>
          <w:sz w:val="28"/>
          <w:szCs w:val="26"/>
        </w:rPr>
        <w:t xml:space="preserve"> предлагается</w:t>
      </w:r>
      <w:r w:rsidR="00FA17D1">
        <w:rPr>
          <w:rFonts w:ascii="Times New Roman" w:eastAsia="Times New Roman" w:hAnsi="Times New Roman" w:cs="Times New Roman"/>
          <w:sz w:val="28"/>
          <w:szCs w:val="26"/>
        </w:rPr>
        <w:t xml:space="preserve"> внести изменения в приложение </w:t>
      </w:r>
      <w:r w:rsidR="00FA17D1" w:rsidRPr="0054796C">
        <w:rPr>
          <w:rFonts w:ascii="Times New Roman" w:eastAsia="Times New Roman" w:hAnsi="Times New Roman" w:cs="Times New Roman"/>
          <w:sz w:val="28"/>
          <w:szCs w:val="26"/>
        </w:rPr>
        <w:t>«Размеры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налогообложения» к Закону Удмуртской Республики от 28 ноября 2012 года</w:t>
      </w:r>
      <w:r w:rsidR="00FA17D1" w:rsidRPr="0054796C">
        <w:rPr>
          <w:sz w:val="28"/>
          <w:szCs w:val="26"/>
        </w:rPr>
        <w:t xml:space="preserve"> </w:t>
      </w:r>
      <w:r w:rsidR="00FA17D1" w:rsidRPr="0054796C">
        <w:rPr>
          <w:rFonts w:ascii="Times New Roman" w:eastAsia="Times New Roman" w:hAnsi="Times New Roman" w:cs="Times New Roman"/>
          <w:sz w:val="28"/>
          <w:szCs w:val="26"/>
        </w:rPr>
        <w:t>№ 63-РЗ «О патентной системе налогообложения в Удмуртской Республике» (далее – Закон Удмуртской Республики № 63-РЗ)</w:t>
      </w:r>
      <w:r w:rsidR="001D69B2"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1D69B2" w:rsidRDefault="001D69B2" w:rsidP="0018606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1) ввести дополнительный подпункт в структуру пункта 46 «</w:t>
      </w:r>
      <w:r w:rsidRPr="001D69B2">
        <w:rPr>
          <w:rFonts w:ascii="Times New Roman" w:eastAsia="Times New Roman" w:hAnsi="Times New Roman" w:cs="Times New Roman"/>
          <w:sz w:val="28"/>
          <w:szCs w:val="26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</w:r>
      <w:r>
        <w:rPr>
          <w:rFonts w:ascii="Times New Roman" w:eastAsia="Times New Roman" w:hAnsi="Times New Roman" w:cs="Times New Roman"/>
          <w:sz w:val="28"/>
          <w:szCs w:val="26"/>
        </w:rPr>
        <w:t>» в части дополнения деятельностью по осуществлению торговли через автоматы;</w:t>
      </w:r>
    </w:p>
    <w:p w:rsidR="00E06CB3" w:rsidRPr="0054796C" w:rsidRDefault="001D69B2" w:rsidP="0018606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2)</w:t>
      </w:r>
      <w:r w:rsidR="00186065" w:rsidRPr="0054796C">
        <w:rPr>
          <w:rFonts w:ascii="Times New Roman" w:eastAsia="Times New Roman" w:hAnsi="Times New Roman" w:cs="Times New Roman"/>
          <w:sz w:val="28"/>
          <w:szCs w:val="26"/>
        </w:rPr>
        <w:t xml:space="preserve"> дополнить </w:t>
      </w:r>
      <w:r w:rsidR="00BC393E" w:rsidRPr="0054796C">
        <w:rPr>
          <w:rFonts w:ascii="Times New Roman" w:eastAsia="Times New Roman" w:hAnsi="Times New Roman" w:cs="Times New Roman"/>
          <w:sz w:val="28"/>
          <w:szCs w:val="26"/>
        </w:rPr>
        <w:t>1</w:t>
      </w:r>
      <w:r>
        <w:rPr>
          <w:rFonts w:ascii="Times New Roman" w:eastAsia="Times New Roman" w:hAnsi="Times New Roman" w:cs="Times New Roman"/>
          <w:sz w:val="28"/>
          <w:szCs w:val="26"/>
        </w:rPr>
        <w:t>0</w:t>
      </w:r>
      <w:r w:rsidR="00BC393E" w:rsidRPr="0054796C">
        <w:rPr>
          <w:rFonts w:ascii="Times New Roman" w:eastAsia="Times New Roman" w:hAnsi="Times New Roman" w:cs="Times New Roman"/>
          <w:sz w:val="28"/>
          <w:szCs w:val="26"/>
        </w:rPr>
        <w:t xml:space="preserve"> новыми пунктами.</w:t>
      </w:r>
    </w:p>
    <w:p w:rsidR="006B5D8E" w:rsidRPr="0054796C" w:rsidRDefault="006F33A1" w:rsidP="00246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Размеры потенциально возможного к получению индивидуальными предпринимателями годового дохода </w:t>
      </w:r>
      <w:r w:rsidR="00A67CE0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для вновь вводимых видов предпринимательской деятельности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предлагается установить </w:t>
      </w:r>
      <w:r w:rsidR="00A67CE0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исходя из установленных </w:t>
      </w:r>
      <w:r w:rsidR="00803661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Закон</w:t>
      </w:r>
      <w:r w:rsidR="00A67CE0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ом</w:t>
      </w:r>
      <w:r w:rsidR="00803661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Удмуртской Республики № 63-РЗ </w:t>
      </w:r>
      <w:r w:rsidR="002A66BB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значениям</w:t>
      </w:r>
      <w:r w:rsidR="00D257FC">
        <w:rPr>
          <w:rFonts w:ascii="Times New Roman" w:eastAsia="Times New Roman" w:hAnsi="Times New Roman" w:cs="Times New Roman"/>
          <w:color w:val="000000"/>
          <w:sz w:val="28"/>
          <w:szCs w:val="26"/>
        </w:rPr>
        <w:t>,</w:t>
      </w:r>
      <w:r w:rsidR="00961B5B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по </w:t>
      </w:r>
      <w:r w:rsidR="00D257F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4-м </w:t>
      </w:r>
      <w:r w:rsidR="00961B5B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группам территорий действия патентов в муниципальных образованиях в Удмуртской Республике</w:t>
      </w:r>
      <w:r w:rsidR="006B5D8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:</w:t>
      </w:r>
    </w:p>
    <w:p w:rsidR="006B5D8E" w:rsidRPr="0054796C" w:rsidRDefault="006B5D8E" w:rsidP="00AE13D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по 375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000 руб., 300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000 руб., 240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000 руб., 192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000 руб.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для следующих видов предпринимательской деятельности: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Д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еятельность легкового такси и арендованных легковых автомобилей с водителем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961B5B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;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здание книг в печатном и электронном виде (на компакт-дисках, электронных носителях, в </w:t>
      </w:r>
      <w:proofErr w:type="spellStart"/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аудиоформате</w:t>
      </w:r>
      <w:proofErr w:type="spellEnd"/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или в информационно-коммуникационной сети Интернет)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;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Д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еятельность </w:t>
      </w:r>
      <w:r w:rsidR="00892BAA" w:rsidRPr="00892BAA">
        <w:rPr>
          <w:rFonts w:ascii="Times New Roman" w:eastAsia="Times New Roman" w:hAnsi="Times New Roman" w:cs="Times New Roman"/>
          <w:sz w:val="28"/>
          <w:szCs w:val="28"/>
        </w:rPr>
        <w:t>по уборке прочих типов зданий и помещений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AE13D7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.</w:t>
      </w:r>
      <w:r w:rsidR="00096A4E" w:rsidRPr="0054796C">
        <w:rPr>
          <w:sz w:val="24"/>
        </w:rPr>
        <w:t xml:space="preserve"> </w:t>
      </w:r>
      <w:r w:rsidR="00AE13D7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Для указанных видов деятельности 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предлагается максимальный размер потенциально возможного к получению индивидуальными предпринимателями годового дохода, как</w:t>
      </w:r>
      <w:r w:rsidR="00096A4E" w:rsidRPr="0054796C">
        <w:rPr>
          <w:sz w:val="24"/>
        </w:rPr>
        <w:t xml:space="preserve"> 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наиболее прибыльны</w:t>
      </w:r>
      <w:r w:rsid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х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вид</w:t>
      </w:r>
      <w:r w:rsid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ов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D257F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предпринимательской 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деятельности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;</w:t>
      </w:r>
    </w:p>
    <w:p w:rsidR="00961B5B" w:rsidRPr="0054796C" w:rsidRDefault="00961B5B" w:rsidP="00AE13D7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по 180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000 руб., 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144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000 руб., 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115 2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00 руб., 92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16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0 руб.</w:t>
      </w:r>
      <w:r w:rsidR="00A1161E" w:rsidRPr="0054796C">
        <w:rPr>
          <w:sz w:val="24"/>
        </w:rPr>
        <w:t xml:space="preserve"> 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для следующих видов предпринимательской деятельности: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Д</w:t>
      </w:r>
      <w:r w:rsidR="00A1161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езинфекция, дезинсекция, дератизация зданий, промышленного оборудования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; </w:t>
      </w:r>
      <w:r w:rsid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У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слуги по уходу за домашними животными, такие как содержание и дрессировка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096A4E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;</w:t>
      </w:r>
    </w:p>
    <w:p w:rsidR="00096A4E" w:rsidRPr="0054796C" w:rsidRDefault="00096A4E" w:rsidP="00AE13D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по 107 000 руб., 85 600 руб., 68 480 руб., 54 784 руб. для следующих видов предпринимательской деятельности:</w:t>
      </w:r>
      <w:r w:rsidR="001D0636" w:rsidRPr="0054796C">
        <w:rPr>
          <w:rFonts w:ascii="Times New Roman" w:eastAsia="Times New Roman" w:hAnsi="Times New Roman" w:cs="Times New Roman"/>
          <w:sz w:val="32"/>
          <w:szCs w:val="28"/>
          <w:lang w:eastAsia="en-US"/>
        </w:rPr>
        <w:t xml:space="preserve">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Деятельность бань и душевых по предоставлению общегигиенических услуг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;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Услуги копировально-множительные 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по индивидуальному заказу населения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;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Деятельность по осуществлению торговли через автоматы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;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Производство бижутерии и подобных товаров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;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Аренда и лизинг офисных машин и оборудования, включая вычислительную технику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; 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Деятельность зрелищно-развлекательная прочая, не включенная в другие группировки</w:t>
      </w:r>
      <w:r w:rsidR="003C2C80"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. Для этих видов деятельности предлагается минимальный размер потенциально возможного к получению индивидуальными предпринимателями годового дохода, как</w:t>
      </w:r>
      <w:r w:rsidR="001D0636" w:rsidRPr="0054796C">
        <w:rPr>
          <w:sz w:val="24"/>
        </w:rPr>
        <w:t xml:space="preserve"> </w:t>
      </w:r>
      <w:r w:rsidR="0054796C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для 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менее прибыльны</w:t>
      </w:r>
      <w:r w:rsid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х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вид</w:t>
      </w:r>
      <w:r w:rsid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ов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D257FC">
        <w:rPr>
          <w:rFonts w:ascii="Times New Roman" w:eastAsia="Times New Roman" w:hAnsi="Times New Roman" w:cs="Times New Roman"/>
          <w:color w:val="000000"/>
          <w:sz w:val="28"/>
          <w:szCs w:val="26"/>
        </w:rPr>
        <w:t>предпринимательской</w:t>
      </w:r>
      <w:r w:rsidR="00D257FC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1D0636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деятельности.</w:t>
      </w:r>
    </w:p>
    <w:p w:rsidR="001D69B2" w:rsidRDefault="001D0636" w:rsidP="001D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Дополнительное увеличение размера потенциально возможного к получению индивидуальными предпринимателями годового дохода на каждую единицу средней численности наемных работников к вновь вводимым видам предпринимательской </w:t>
      </w:r>
      <w:r w:rsidR="001D69B2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деятельности</w:t>
      </w:r>
      <w:r w:rsidR="001D69B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1D69B2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предлагается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установить также в соответствии с</w:t>
      </w:r>
      <w:r w:rsidR="00FA17D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положениями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Закон</w:t>
      </w:r>
      <w:r w:rsidR="00FA17D1"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Удмуртской Республики № 63-РЗ.</w:t>
      </w:r>
      <w:r w:rsidR="001D69B2" w:rsidRPr="001D69B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p w:rsidR="001D0636" w:rsidRDefault="003C2C80" w:rsidP="001D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</w:t>
      </w:r>
      <w:r w:rsidR="00383327" w:rsidRPr="0038332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азмер потенциально возможного к получению индивидуальными предпринимателями годового дохода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тносительно д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по осуществлению торговли через автоматы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892BAA">
        <w:rPr>
          <w:rFonts w:ascii="Times New Roman" w:eastAsia="Times New Roman" w:hAnsi="Times New Roman" w:cs="Times New Roman"/>
          <w:color w:val="000000"/>
          <w:sz w:val="28"/>
          <w:szCs w:val="26"/>
        </w:rPr>
        <w:t>предлагается установить</w:t>
      </w:r>
      <w:r w:rsidR="0038332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на каждый </w:t>
      </w:r>
      <w:r w:rsidR="00892BAA">
        <w:rPr>
          <w:rFonts w:ascii="Times New Roman" w:eastAsia="Times New Roman" w:hAnsi="Times New Roman" w:cs="Times New Roman"/>
          <w:color w:val="000000"/>
          <w:sz w:val="28"/>
          <w:szCs w:val="26"/>
        </w:rPr>
        <w:t>торговый автомат</w:t>
      </w:r>
      <w:r w:rsidR="00383327">
        <w:rPr>
          <w:rFonts w:ascii="Times New Roman" w:eastAsia="Times New Roman" w:hAnsi="Times New Roman" w:cs="Times New Roman"/>
          <w:color w:val="000000"/>
          <w:sz w:val="28"/>
          <w:szCs w:val="26"/>
        </w:rPr>
        <w:t>,</w:t>
      </w:r>
      <w:r w:rsidR="001D69B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38332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возможность увеличения годового дохода </w:t>
      </w:r>
      <w:r w:rsidR="00383327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 каждую единицу средней численности наемных работников </w:t>
      </w:r>
      <w:r w:rsidR="00383327">
        <w:rPr>
          <w:rFonts w:ascii="Times New Roman" w:eastAsia="Times New Roman" w:hAnsi="Times New Roman" w:cs="Times New Roman"/>
          <w:color w:val="000000"/>
          <w:sz w:val="28"/>
          <w:szCs w:val="26"/>
        </w:rPr>
        <w:t>не предусматривается.</w:t>
      </w:r>
      <w:r w:rsidR="001D69B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p w:rsidR="00892BAA" w:rsidRPr="0054796C" w:rsidRDefault="00892BAA" w:rsidP="003A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892BAA"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Деятельность легкового такси и арендованных легковых автомобилей с водителем</w:t>
      </w:r>
      <w:r w:rsidR="007D3AE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(ОКВЭД 49.32)</w:t>
      </w:r>
      <w:r w:rsidR="00FA17D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предлагается ввести</w:t>
      </w:r>
      <w:r w:rsidR="007D3AE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3A0CA2">
        <w:rPr>
          <w:rFonts w:ascii="Times New Roman" w:eastAsia="Times New Roman" w:hAnsi="Times New Roman" w:cs="Times New Roman"/>
          <w:color w:val="000000"/>
          <w:sz w:val="28"/>
          <w:szCs w:val="26"/>
        </w:rPr>
        <w:t>с уч</w:t>
      </w:r>
      <w:r w:rsidR="00FA17D1">
        <w:rPr>
          <w:rFonts w:ascii="Times New Roman" w:eastAsia="Times New Roman" w:hAnsi="Times New Roman" w:cs="Times New Roman"/>
          <w:color w:val="000000"/>
          <w:sz w:val="28"/>
          <w:szCs w:val="26"/>
        </w:rPr>
        <w:t>ё</w:t>
      </w:r>
      <w:r w:rsidR="003A0CA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том </w:t>
      </w:r>
      <w:r w:rsidR="0078547D">
        <w:rPr>
          <w:rFonts w:ascii="Times New Roman" w:eastAsia="Times New Roman" w:hAnsi="Times New Roman" w:cs="Times New Roman"/>
          <w:color w:val="000000"/>
          <w:sz w:val="28"/>
          <w:szCs w:val="26"/>
        </w:rPr>
        <w:t>ограничений</w:t>
      </w:r>
      <w:r w:rsidR="00FA17D1">
        <w:rPr>
          <w:rFonts w:ascii="Times New Roman" w:eastAsia="Times New Roman" w:hAnsi="Times New Roman" w:cs="Times New Roman"/>
          <w:color w:val="000000"/>
          <w:sz w:val="28"/>
          <w:szCs w:val="26"/>
        </w:rPr>
        <w:t>, содержащихся в пункте 6 статьи 346.43 Налогового кодекса Российской Федерации</w:t>
      </w:r>
      <w:r w:rsidR="0078547D">
        <w:rPr>
          <w:rFonts w:ascii="Times New Roman" w:eastAsia="Times New Roman" w:hAnsi="Times New Roman" w:cs="Times New Roman"/>
          <w:color w:val="000000"/>
          <w:sz w:val="28"/>
          <w:szCs w:val="26"/>
        </w:rPr>
        <w:t>, дополнив условием</w:t>
      </w:r>
      <w:r w:rsidRPr="00892BA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3A0CA2">
        <w:rPr>
          <w:rFonts w:ascii="Times New Roman" w:eastAsia="Times New Roman" w:hAnsi="Times New Roman" w:cs="Times New Roman"/>
          <w:color w:val="000000"/>
          <w:sz w:val="28"/>
          <w:szCs w:val="26"/>
        </w:rPr>
        <w:t>«</w:t>
      </w:r>
      <w:r w:rsidRPr="00892BAA">
        <w:rPr>
          <w:rFonts w:ascii="Times New Roman" w:eastAsia="Times New Roman" w:hAnsi="Times New Roman" w:cs="Times New Roman"/>
          <w:color w:val="000000"/>
          <w:sz w:val="28"/>
          <w:szCs w:val="26"/>
        </w:rPr>
        <w:t>имеющими на праве собственности или ином праве (пользования, владения и (или) распоряжения) не более 20 автотранспортных средств, предназначенных для указанной деятельности</w:t>
      </w:r>
      <w:r w:rsidR="003A0CA2">
        <w:rPr>
          <w:rFonts w:ascii="Times New Roman" w:eastAsia="Times New Roman" w:hAnsi="Times New Roman" w:cs="Times New Roman"/>
          <w:color w:val="000000"/>
          <w:sz w:val="28"/>
          <w:szCs w:val="26"/>
        </w:rPr>
        <w:t>».</w:t>
      </w:r>
    </w:p>
    <w:p w:rsidR="003F53A6" w:rsidRPr="0054796C" w:rsidRDefault="003F53A6" w:rsidP="001D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Бюджетная эффективность от расширения видов предпринимательской деятельности</w:t>
      </w:r>
      <w:r w:rsidR="004419BC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,</w:t>
      </w:r>
      <w:r w:rsidR="004419BC" w:rsidRPr="0054796C">
        <w:rPr>
          <w:sz w:val="28"/>
          <w:szCs w:val="26"/>
        </w:rPr>
        <w:t xml:space="preserve"> </w:t>
      </w:r>
      <w:r w:rsidR="004419BC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в отношении которых применяется патентная система налогообложения,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будет достигнута за счет </w:t>
      </w:r>
      <w:r w:rsidR="004419BC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увеличения количества субъектов </w:t>
      </w:r>
      <w:r w:rsidR="00710030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малого и среднего предпринимательства</w:t>
      </w:r>
      <w:r w:rsidR="004419BC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, желающих</w:t>
      </w:r>
      <w:r w:rsidR="00AE13D7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освоить новые виды деятельности и/или</w:t>
      </w:r>
      <w:r w:rsidR="004419BC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перейти на патентную систему налогообложения</w:t>
      </w:r>
      <w:r w:rsidR="00AE13D7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, как более выгодный режим налогообложения с точки зрения величины налоговой нагрузки</w:t>
      </w:r>
      <w:r w:rsidR="004419BC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, что </w:t>
      </w:r>
      <w:r w:rsidR="00A6257A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позволит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710030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расширить их бизнес, и, как следствие, </w:t>
      </w:r>
      <w:r w:rsidR="00994BE5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создать новые рабочие места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на предприятиях</w:t>
      </w:r>
      <w:r w:rsid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, что приведёт к </w:t>
      </w:r>
      <w:r w:rsidR="00311FBF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увеличению занятости </w:t>
      </w:r>
      <w:r w:rsid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 улучшению материального благосостояния </w:t>
      </w:r>
      <w:r w:rsidR="00311FBF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>населения Удмуртской Республики.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При этом бюджетный эффект будет отсроченным.</w:t>
      </w:r>
    </w:p>
    <w:p w:rsidR="0054796C" w:rsidRDefault="00994BE5" w:rsidP="00E0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sz w:val="28"/>
          <w:szCs w:val="26"/>
        </w:rPr>
        <w:t>П</w:t>
      </w:r>
      <w:r w:rsidR="00E06CB3" w:rsidRPr="0054796C">
        <w:rPr>
          <w:rFonts w:ascii="Times New Roman" w:eastAsia="Times New Roman" w:hAnsi="Times New Roman" w:cs="Times New Roman"/>
          <w:sz w:val="28"/>
          <w:szCs w:val="26"/>
        </w:rPr>
        <w:t>роект</w:t>
      </w:r>
      <w:r w:rsidRPr="0054796C">
        <w:rPr>
          <w:rFonts w:ascii="Times New Roman" w:eastAsia="Times New Roman" w:hAnsi="Times New Roman" w:cs="Times New Roman"/>
          <w:sz w:val="28"/>
          <w:szCs w:val="26"/>
        </w:rPr>
        <w:t xml:space="preserve"> закона</w:t>
      </w:r>
      <w:r w:rsidR="00E06CB3" w:rsidRPr="0054796C">
        <w:rPr>
          <w:rFonts w:ascii="Times New Roman" w:eastAsia="Times New Roman" w:hAnsi="Times New Roman" w:cs="Times New Roman"/>
          <w:sz w:val="28"/>
          <w:szCs w:val="26"/>
        </w:rPr>
        <w:t xml:space="preserve"> прежде всего направлен на поддержку предпринимательской деятельности. </w:t>
      </w:r>
    </w:p>
    <w:p w:rsidR="00E06CB3" w:rsidRPr="0054796C" w:rsidRDefault="00E06CB3" w:rsidP="00E0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sz w:val="28"/>
          <w:szCs w:val="26"/>
        </w:rPr>
        <w:t xml:space="preserve">Нововведение положительно повлияет на </w:t>
      </w:r>
      <w:r w:rsidR="00994BE5" w:rsidRPr="0054796C">
        <w:rPr>
          <w:rFonts w:ascii="Times New Roman" w:eastAsia="Times New Roman" w:hAnsi="Times New Roman" w:cs="Times New Roman"/>
          <w:sz w:val="28"/>
          <w:szCs w:val="26"/>
        </w:rPr>
        <w:t xml:space="preserve">налоговые </w:t>
      </w:r>
      <w:r w:rsidRPr="0054796C">
        <w:rPr>
          <w:rFonts w:ascii="Times New Roman" w:eastAsia="Times New Roman" w:hAnsi="Times New Roman" w:cs="Times New Roman"/>
          <w:sz w:val="28"/>
          <w:szCs w:val="26"/>
        </w:rPr>
        <w:t>поступления</w:t>
      </w:r>
      <w:r w:rsidR="00A6257A" w:rsidRPr="0054796C">
        <w:rPr>
          <w:rFonts w:ascii="Times New Roman" w:eastAsia="Times New Roman" w:hAnsi="Times New Roman" w:cs="Times New Roman"/>
          <w:sz w:val="28"/>
          <w:szCs w:val="26"/>
        </w:rPr>
        <w:t xml:space="preserve"> от патентной системы налогообложения</w:t>
      </w:r>
      <w:r w:rsidRPr="0054796C">
        <w:rPr>
          <w:rFonts w:ascii="Times New Roman" w:eastAsia="Times New Roman" w:hAnsi="Times New Roman" w:cs="Times New Roman"/>
          <w:sz w:val="28"/>
          <w:szCs w:val="26"/>
        </w:rPr>
        <w:t xml:space="preserve"> в бюджет</w:t>
      </w:r>
      <w:r w:rsidR="0054796C">
        <w:rPr>
          <w:rFonts w:ascii="Times New Roman" w:eastAsia="Times New Roman" w:hAnsi="Times New Roman" w:cs="Times New Roman"/>
          <w:sz w:val="28"/>
          <w:szCs w:val="26"/>
        </w:rPr>
        <w:t>ы муниципальных образований в</w:t>
      </w:r>
      <w:r w:rsidRPr="0054796C">
        <w:rPr>
          <w:rFonts w:ascii="Times New Roman" w:eastAsia="Times New Roman" w:hAnsi="Times New Roman" w:cs="Times New Roman"/>
          <w:sz w:val="28"/>
          <w:szCs w:val="26"/>
        </w:rPr>
        <w:t xml:space="preserve"> Удмуртской Республик</w:t>
      </w:r>
      <w:r w:rsidR="0054796C">
        <w:rPr>
          <w:rFonts w:ascii="Times New Roman" w:eastAsia="Times New Roman" w:hAnsi="Times New Roman" w:cs="Times New Roman"/>
          <w:sz w:val="28"/>
          <w:szCs w:val="26"/>
        </w:rPr>
        <w:t>е</w:t>
      </w:r>
      <w:r w:rsidRPr="0054796C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E06CB3" w:rsidRPr="0054796C" w:rsidRDefault="00E06CB3" w:rsidP="00E0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94BE5" w:rsidRPr="0054796C" w:rsidRDefault="00994BE5" w:rsidP="00E0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9"/>
        <w:gridCol w:w="4809"/>
      </w:tblGrid>
      <w:tr w:rsidR="004419BC" w:rsidRPr="0054796C" w:rsidTr="00444CA6">
        <w:tc>
          <w:tcPr>
            <w:tcW w:w="4829" w:type="dxa"/>
          </w:tcPr>
          <w:p w:rsidR="004419BC" w:rsidRPr="0054796C" w:rsidRDefault="004419BC" w:rsidP="004419BC">
            <w:pPr>
              <w:spacing w:line="252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54796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Председатель </w:t>
            </w:r>
          </w:p>
        </w:tc>
        <w:tc>
          <w:tcPr>
            <w:tcW w:w="4809" w:type="dxa"/>
          </w:tcPr>
          <w:p w:rsidR="004419BC" w:rsidRPr="0054796C" w:rsidRDefault="004419BC" w:rsidP="00444CA6">
            <w:pPr>
              <w:spacing w:line="252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</w:tr>
    </w:tbl>
    <w:p w:rsidR="004419BC" w:rsidRPr="0054796C" w:rsidRDefault="004419BC" w:rsidP="004419BC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постоянной комиссии </w:t>
      </w:r>
    </w:p>
    <w:p w:rsidR="004419BC" w:rsidRPr="0054796C" w:rsidRDefault="004419BC" w:rsidP="004419BC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Государственного Совета </w:t>
      </w:r>
    </w:p>
    <w:p w:rsidR="004419BC" w:rsidRPr="0054796C" w:rsidRDefault="004419BC" w:rsidP="004419BC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Удмуртской Республики </w:t>
      </w:r>
    </w:p>
    <w:p w:rsidR="0054796C" w:rsidRPr="0054796C" w:rsidRDefault="004419BC" w:rsidP="0078547D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по бюджету, налогам и </w:t>
      </w:r>
      <w:proofErr w:type="gramStart"/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финансам 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proofErr w:type="gramEnd"/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                     </w:t>
      </w:r>
      <w:r w:rsidR="00994BE5"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    </w:t>
      </w:r>
      <w:r w:rsidRPr="0054796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В.В. Паршин</w:t>
      </w:r>
      <w:bookmarkStart w:id="0" w:name="_GoBack"/>
      <w:bookmarkEnd w:id="0"/>
    </w:p>
    <w:sectPr w:rsidR="0054796C" w:rsidRPr="0054796C" w:rsidSect="003C2C80">
      <w:headerReference w:type="default" r:id="rId7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FF" w:rsidRDefault="007E62FF" w:rsidP="002460C7">
      <w:pPr>
        <w:spacing w:after="0" w:line="240" w:lineRule="auto"/>
      </w:pPr>
      <w:r>
        <w:separator/>
      </w:r>
    </w:p>
  </w:endnote>
  <w:endnote w:type="continuationSeparator" w:id="0">
    <w:p w:rsidR="007E62FF" w:rsidRDefault="007E62FF" w:rsidP="0024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FF" w:rsidRDefault="007E62FF" w:rsidP="002460C7">
      <w:pPr>
        <w:spacing w:after="0" w:line="240" w:lineRule="auto"/>
      </w:pPr>
      <w:r>
        <w:separator/>
      </w:r>
    </w:p>
  </w:footnote>
  <w:footnote w:type="continuationSeparator" w:id="0">
    <w:p w:rsidR="007E62FF" w:rsidRDefault="007E62FF" w:rsidP="0024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01422"/>
      <w:docPartObj>
        <w:docPartGallery w:val="Page Numbers (Top of Page)"/>
        <w:docPartUnique/>
      </w:docPartObj>
    </w:sdtPr>
    <w:sdtEndPr/>
    <w:sdtContent>
      <w:p w:rsidR="007E62FF" w:rsidRDefault="007E62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2FF" w:rsidRDefault="007E62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547D"/>
    <w:multiLevelType w:val="hybridMultilevel"/>
    <w:tmpl w:val="8C0E7190"/>
    <w:lvl w:ilvl="0" w:tplc="3258B8E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7946DA"/>
    <w:multiLevelType w:val="hybridMultilevel"/>
    <w:tmpl w:val="4F9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2458"/>
    <w:multiLevelType w:val="hybridMultilevel"/>
    <w:tmpl w:val="4F9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6E"/>
    <w:rsid w:val="0008191B"/>
    <w:rsid w:val="00096A4E"/>
    <w:rsid w:val="001260C0"/>
    <w:rsid w:val="00132809"/>
    <w:rsid w:val="00144725"/>
    <w:rsid w:val="00165C6E"/>
    <w:rsid w:val="00167192"/>
    <w:rsid w:val="00186065"/>
    <w:rsid w:val="001C2943"/>
    <w:rsid w:val="001D0636"/>
    <w:rsid w:val="001D69B2"/>
    <w:rsid w:val="001F4C86"/>
    <w:rsid w:val="002345D5"/>
    <w:rsid w:val="00244032"/>
    <w:rsid w:val="002460C7"/>
    <w:rsid w:val="002950CA"/>
    <w:rsid w:val="002A66BB"/>
    <w:rsid w:val="00311FBF"/>
    <w:rsid w:val="00321033"/>
    <w:rsid w:val="00383327"/>
    <w:rsid w:val="003A0CA2"/>
    <w:rsid w:val="003C2C80"/>
    <w:rsid w:val="003C317C"/>
    <w:rsid w:val="003E65B1"/>
    <w:rsid w:val="003F53A6"/>
    <w:rsid w:val="00405A20"/>
    <w:rsid w:val="00412113"/>
    <w:rsid w:val="00417BD7"/>
    <w:rsid w:val="004419BC"/>
    <w:rsid w:val="00443446"/>
    <w:rsid w:val="0047073C"/>
    <w:rsid w:val="0047725C"/>
    <w:rsid w:val="004B1176"/>
    <w:rsid w:val="004D0F6A"/>
    <w:rsid w:val="0054796C"/>
    <w:rsid w:val="0056676F"/>
    <w:rsid w:val="00587615"/>
    <w:rsid w:val="00682288"/>
    <w:rsid w:val="006B5D8E"/>
    <w:rsid w:val="006F33A1"/>
    <w:rsid w:val="0070561F"/>
    <w:rsid w:val="00710030"/>
    <w:rsid w:val="0078547D"/>
    <w:rsid w:val="0079119E"/>
    <w:rsid w:val="007B28D3"/>
    <w:rsid w:val="007D3AE2"/>
    <w:rsid w:val="007E62FF"/>
    <w:rsid w:val="00803661"/>
    <w:rsid w:val="008046EF"/>
    <w:rsid w:val="00811346"/>
    <w:rsid w:val="00892BAA"/>
    <w:rsid w:val="008B514F"/>
    <w:rsid w:val="009345C4"/>
    <w:rsid w:val="0094226E"/>
    <w:rsid w:val="009443B4"/>
    <w:rsid w:val="00961B5B"/>
    <w:rsid w:val="00994BE5"/>
    <w:rsid w:val="00A00A14"/>
    <w:rsid w:val="00A1161E"/>
    <w:rsid w:val="00A30A32"/>
    <w:rsid w:val="00A6257A"/>
    <w:rsid w:val="00A67CE0"/>
    <w:rsid w:val="00AE13D7"/>
    <w:rsid w:val="00BC393E"/>
    <w:rsid w:val="00BE7B86"/>
    <w:rsid w:val="00CB7C33"/>
    <w:rsid w:val="00D17063"/>
    <w:rsid w:val="00D257FC"/>
    <w:rsid w:val="00D7726A"/>
    <w:rsid w:val="00D909CF"/>
    <w:rsid w:val="00DC0F7C"/>
    <w:rsid w:val="00DD457A"/>
    <w:rsid w:val="00DE7EC5"/>
    <w:rsid w:val="00E06CB3"/>
    <w:rsid w:val="00E6755A"/>
    <w:rsid w:val="00F13F78"/>
    <w:rsid w:val="00F43B18"/>
    <w:rsid w:val="00F7731E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0DE26-980B-4385-856E-74988B5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12113"/>
  </w:style>
  <w:style w:type="paragraph" w:customStyle="1" w:styleId="ConsPlusTitle">
    <w:name w:val="ConsPlusTitle"/>
    <w:rsid w:val="0041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1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12113"/>
  </w:style>
  <w:style w:type="table" w:customStyle="1" w:styleId="10">
    <w:name w:val="Сетка таблицы1"/>
    <w:basedOn w:val="a1"/>
    <w:next w:val="a3"/>
    <w:uiPriority w:val="59"/>
    <w:rsid w:val="004121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2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41211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30A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0C7"/>
  </w:style>
  <w:style w:type="paragraph" w:styleId="a8">
    <w:name w:val="footer"/>
    <w:basedOn w:val="a"/>
    <w:link w:val="a9"/>
    <w:uiPriority w:val="99"/>
    <w:semiHidden/>
    <w:unhideWhenUsed/>
    <w:rsid w:val="0024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0C7"/>
  </w:style>
  <w:style w:type="paragraph" w:styleId="aa">
    <w:name w:val="Balloon Text"/>
    <w:basedOn w:val="a"/>
    <w:link w:val="ab"/>
    <w:uiPriority w:val="99"/>
    <w:semiHidden/>
    <w:unhideWhenUsed/>
    <w:rsid w:val="0079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С.В.</dc:creator>
  <cp:keywords/>
  <dc:description/>
  <cp:lastModifiedBy>Губайдуллина Гульназ Марсилевна</cp:lastModifiedBy>
  <cp:revision>6</cp:revision>
  <cp:lastPrinted>2021-10-11T11:21:00Z</cp:lastPrinted>
  <dcterms:created xsi:type="dcterms:W3CDTF">2021-10-11T10:05:00Z</dcterms:created>
  <dcterms:modified xsi:type="dcterms:W3CDTF">2021-10-11T11:35:00Z</dcterms:modified>
</cp:coreProperties>
</file>